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FF" w:rsidRDefault="00281B24" w:rsidP="006F51D2">
      <w:pPr>
        <w:pStyle w:val="BodyText"/>
        <w:spacing w:line="240" w:lineRule="auto"/>
        <w:ind w:right="11"/>
        <w:jc w:val="center"/>
        <w:rPr>
          <w:rFonts w:ascii="Arial" w:hAnsi="Arial" w:cs="Arial"/>
          <w:b/>
          <w:sz w:val="26"/>
          <w:szCs w:val="26"/>
          <w:u w:val="single"/>
        </w:rPr>
      </w:pPr>
      <w:r>
        <w:rPr>
          <w:rFonts w:ascii="Arial" w:hAnsi="Arial" w:cs="Arial"/>
          <w:b/>
          <w:sz w:val="26"/>
          <w:szCs w:val="26"/>
          <w:u w:val="single"/>
        </w:rPr>
        <w:t>P</w:t>
      </w:r>
      <w:r w:rsidR="003362FF">
        <w:rPr>
          <w:rFonts w:ascii="Arial" w:hAnsi="Arial" w:cs="Arial"/>
          <w:b/>
          <w:sz w:val="26"/>
          <w:szCs w:val="26"/>
          <w:u w:val="single"/>
        </w:rPr>
        <w:t>RESS COMMUNIQUÉ</w:t>
      </w:r>
    </w:p>
    <w:p w:rsidR="003362FF" w:rsidRPr="00144E4F" w:rsidRDefault="003362FF" w:rsidP="00144E4F">
      <w:pPr>
        <w:pStyle w:val="BodyText"/>
        <w:spacing w:after="0" w:line="240" w:lineRule="auto"/>
        <w:ind w:right="11"/>
        <w:jc w:val="center"/>
        <w:rPr>
          <w:rFonts w:ascii="Arial" w:hAnsi="Arial" w:cs="Arial"/>
          <w:b/>
          <w:sz w:val="16"/>
          <w:szCs w:val="26"/>
          <w:u w:val="single"/>
        </w:rPr>
      </w:pPr>
    </w:p>
    <w:p w:rsidR="003362FF" w:rsidRPr="003362FF" w:rsidRDefault="003362FF" w:rsidP="000A202C">
      <w:pPr>
        <w:pStyle w:val="NoSpacing"/>
        <w:spacing w:line="276" w:lineRule="auto"/>
        <w:ind w:right="11"/>
        <w:jc w:val="center"/>
        <w:rPr>
          <w:rFonts w:ascii="Arial" w:hAnsi="Arial" w:cs="Arial"/>
          <w:b/>
          <w:bCs/>
          <w:sz w:val="24"/>
          <w:szCs w:val="24"/>
          <w:u w:val="single"/>
        </w:rPr>
      </w:pPr>
      <w:r w:rsidRPr="0063690B">
        <w:rPr>
          <w:rFonts w:ascii="Arial" w:hAnsi="Arial" w:cs="Arial"/>
          <w:b/>
          <w:sz w:val="24"/>
          <w:szCs w:val="24"/>
          <w:u w:val="single"/>
        </w:rPr>
        <w:t xml:space="preserve">Repayment </w:t>
      </w:r>
      <w:r w:rsidR="0063690B" w:rsidRPr="0063690B">
        <w:rPr>
          <w:rFonts w:ascii="Arial" w:hAnsi="Arial" w:cs="Arial"/>
          <w:b/>
          <w:sz w:val="24"/>
          <w:szCs w:val="24"/>
          <w:u w:val="single"/>
        </w:rPr>
        <w:t>of 8.19% GS</w:t>
      </w:r>
      <w:r w:rsidRPr="0063690B">
        <w:rPr>
          <w:rFonts w:ascii="Arial" w:hAnsi="Arial" w:cs="Arial"/>
          <w:b/>
          <w:sz w:val="24"/>
          <w:szCs w:val="24"/>
          <w:u w:val="single"/>
        </w:rPr>
        <w:t xml:space="preserve"> </w:t>
      </w:r>
      <w:r w:rsidR="005B16D3">
        <w:rPr>
          <w:rFonts w:ascii="Arial" w:hAnsi="Arial" w:cs="Arial"/>
          <w:b/>
          <w:sz w:val="24"/>
          <w:szCs w:val="24"/>
          <w:u w:val="single"/>
        </w:rPr>
        <w:t>2020</w:t>
      </w:r>
      <w:r w:rsidR="00EC001F" w:rsidRPr="0063690B">
        <w:rPr>
          <w:rFonts w:ascii="Arial" w:hAnsi="Arial" w:cs="Arial"/>
          <w:b/>
          <w:sz w:val="24"/>
          <w:szCs w:val="24"/>
          <w:u w:val="single"/>
        </w:rPr>
        <w:t xml:space="preserve"> </w:t>
      </w:r>
      <w:proofErr w:type="gramStart"/>
      <w:r w:rsidR="00EC001F" w:rsidRPr="0063690B">
        <w:rPr>
          <w:rFonts w:ascii="Arial" w:hAnsi="Arial" w:cs="Arial"/>
          <w:b/>
          <w:sz w:val="24"/>
          <w:szCs w:val="24"/>
          <w:u w:val="single"/>
        </w:rPr>
        <w:t xml:space="preserve">- </w:t>
      </w:r>
      <w:r w:rsidRPr="0063690B">
        <w:rPr>
          <w:rFonts w:ascii="Arial" w:hAnsi="Arial" w:cs="Arial"/>
          <w:b/>
          <w:bCs/>
          <w:sz w:val="24"/>
          <w:szCs w:val="24"/>
          <w:u w:val="single"/>
        </w:rPr>
        <w:t xml:space="preserve"> Issue</w:t>
      </w:r>
      <w:proofErr w:type="gramEnd"/>
      <w:r w:rsidRPr="0063690B">
        <w:rPr>
          <w:rFonts w:ascii="Arial" w:hAnsi="Arial" w:cs="Arial"/>
          <w:b/>
          <w:bCs/>
          <w:sz w:val="24"/>
          <w:szCs w:val="24"/>
          <w:u w:val="single"/>
        </w:rPr>
        <w:t xml:space="preserve"> of Press Communiqu</w:t>
      </w:r>
      <w:r w:rsidRPr="003362FF">
        <w:rPr>
          <w:rFonts w:ascii="Arial" w:hAnsi="Arial" w:cs="Arial"/>
          <w:b/>
          <w:bCs/>
          <w:sz w:val="24"/>
          <w:szCs w:val="24"/>
          <w:u w:val="single"/>
        </w:rPr>
        <w:t>é.</w:t>
      </w:r>
    </w:p>
    <w:p w:rsidR="003362FF" w:rsidRPr="00144E4F" w:rsidRDefault="003362FF" w:rsidP="003362FF">
      <w:pPr>
        <w:pStyle w:val="InsideAddress"/>
        <w:ind w:right="11"/>
        <w:rPr>
          <w:sz w:val="20"/>
          <w:szCs w:val="26"/>
        </w:rPr>
      </w:pPr>
    </w:p>
    <w:p w:rsidR="00144E4F" w:rsidRDefault="00144E4F" w:rsidP="003362FF">
      <w:pPr>
        <w:pStyle w:val="InsideAddress"/>
        <w:ind w:right="11"/>
        <w:rPr>
          <w:sz w:val="26"/>
          <w:szCs w:val="26"/>
        </w:rPr>
      </w:pPr>
      <w:r>
        <w:rPr>
          <w:sz w:val="26"/>
          <w:szCs w:val="26"/>
        </w:rPr>
        <w:tab/>
        <w:t>The repayment of following securit</w:t>
      </w:r>
      <w:r w:rsidR="00CF6F57">
        <w:rPr>
          <w:sz w:val="26"/>
          <w:szCs w:val="26"/>
        </w:rPr>
        <w:t>ies</w:t>
      </w:r>
      <w:r w:rsidR="00B33DFF">
        <w:rPr>
          <w:sz w:val="26"/>
          <w:szCs w:val="26"/>
        </w:rPr>
        <w:t xml:space="preserve"> </w:t>
      </w:r>
      <w:r w:rsidR="000A202C">
        <w:rPr>
          <w:sz w:val="26"/>
          <w:szCs w:val="26"/>
        </w:rPr>
        <w:t xml:space="preserve">is </w:t>
      </w:r>
      <w:r>
        <w:rPr>
          <w:sz w:val="26"/>
          <w:szCs w:val="26"/>
        </w:rPr>
        <w:t xml:space="preserve">due as per details given below:  </w:t>
      </w:r>
    </w:p>
    <w:p w:rsidR="003362FF" w:rsidRDefault="003362FF" w:rsidP="003362FF">
      <w:pPr>
        <w:pStyle w:val="InsideAddress"/>
        <w:ind w:right="11"/>
        <w:rPr>
          <w:sz w:val="26"/>
          <w:szCs w:val="26"/>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160"/>
        <w:gridCol w:w="2070"/>
        <w:gridCol w:w="1800"/>
        <w:gridCol w:w="2430"/>
      </w:tblGrid>
      <w:tr w:rsidR="00EC001F" w:rsidRPr="00CE6BAD" w:rsidTr="00EC001F">
        <w:trPr>
          <w:trHeight w:val="278"/>
        </w:trPr>
        <w:tc>
          <w:tcPr>
            <w:tcW w:w="9090" w:type="dxa"/>
            <w:gridSpan w:val="5"/>
          </w:tcPr>
          <w:p w:rsidR="00EC001F" w:rsidRPr="00CE6BAD" w:rsidRDefault="00EC001F" w:rsidP="007D4A14">
            <w:pPr>
              <w:spacing w:after="0" w:line="240" w:lineRule="exact"/>
              <w:ind w:left="-108" w:right="-18"/>
              <w:contextualSpacing/>
              <w:jc w:val="center"/>
              <w:rPr>
                <w:rFonts w:ascii="Arial" w:hAnsi="Arial" w:cs="Arial"/>
                <w:szCs w:val="22"/>
              </w:rPr>
            </w:pPr>
            <w:r w:rsidRPr="008B175C">
              <w:rPr>
                <w:rFonts w:ascii="Arial" w:hAnsi="Arial" w:cs="Arial"/>
                <w:b/>
                <w:bCs/>
                <w:szCs w:val="22"/>
              </w:rPr>
              <w:t>Table: Details of GoI Securit</w:t>
            </w:r>
            <w:r>
              <w:rPr>
                <w:rFonts w:ascii="Arial" w:hAnsi="Arial" w:cs="Arial"/>
                <w:b/>
                <w:bCs/>
                <w:szCs w:val="22"/>
              </w:rPr>
              <w:t>ies</w:t>
            </w:r>
            <w:r w:rsidRPr="008B175C">
              <w:rPr>
                <w:rFonts w:ascii="Arial" w:hAnsi="Arial" w:cs="Arial"/>
                <w:b/>
                <w:bCs/>
                <w:szCs w:val="22"/>
              </w:rPr>
              <w:t xml:space="preserve"> maturing </w:t>
            </w:r>
            <w:r>
              <w:rPr>
                <w:rFonts w:ascii="Arial" w:hAnsi="Arial" w:cs="Arial"/>
                <w:b/>
                <w:bCs/>
                <w:szCs w:val="22"/>
              </w:rPr>
              <w:t>in the month of January</w:t>
            </w:r>
            <w:r w:rsidRPr="008B175C">
              <w:rPr>
                <w:rFonts w:ascii="Arial" w:hAnsi="Arial" w:cs="Arial"/>
                <w:b/>
                <w:bCs/>
                <w:szCs w:val="22"/>
              </w:rPr>
              <w:t>, 20</w:t>
            </w:r>
            <w:r w:rsidR="007D4A14">
              <w:rPr>
                <w:rFonts w:ascii="Arial" w:hAnsi="Arial" w:cs="Arial"/>
                <w:b/>
                <w:bCs/>
                <w:szCs w:val="22"/>
              </w:rPr>
              <w:t>20</w:t>
            </w:r>
          </w:p>
        </w:tc>
      </w:tr>
      <w:tr w:rsidR="00EC001F" w:rsidRPr="00CE6BAD" w:rsidTr="00EC001F">
        <w:trPr>
          <w:trHeight w:val="278"/>
        </w:trPr>
        <w:tc>
          <w:tcPr>
            <w:tcW w:w="630" w:type="dxa"/>
          </w:tcPr>
          <w:p w:rsidR="00EC001F" w:rsidRPr="00CE6BAD" w:rsidRDefault="00EC001F" w:rsidP="0010157B">
            <w:pPr>
              <w:spacing w:after="0" w:line="240" w:lineRule="exact"/>
              <w:ind w:left="-118" w:right="-108"/>
              <w:contextualSpacing/>
              <w:jc w:val="center"/>
              <w:rPr>
                <w:rFonts w:ascii="Arial" w:hAnsi="Arial" w:cs="Arial"/>
                <w:b/>
                <w:bCs/>
                <w:szCs w:val="22"/>
              </w:rPr>
            </w:pPr>
            <w:r w:rsidRPr="00CE6BAD">
              <w:rPr>
                <w:rFonts w:ascii="Arial" w:hAnsi="Arial" w:cs="Arial"/>
                <w:b/>
                <w:bCs/>
                <w:szCs w:val="22"/>
              </w:rPr>
              <w:t>Sl. No.</w:t>
            </w:r>
          </w:p>
        </w:tc>
        <w:tc>
          <w:tcPr>
            <w:tcW w:w="2160" w:type="dxa"/>
          </w:tcPr>
          <w:p w:rsidR="00EC001F" w:rsidRPr="00CE6BAD" w:rsidRDefault="00EC001F" w:rsidP="0010157B">
            <w:pPr>
              <w:spacing w:after="0" w:line="240" w:lineRule="exact"/>
              <w:ind w:left="-360" w:right="-108"/>
              <w:contextualSpacing/>
              <w:jc w:val="center"/>
              <w:rPr>
                <w:rFonts w:ascii="Arial" w:hAnsi="Arial" w:cs="Arial"/>
                <w:b/>
                <w:bCs/>
                <w:szCs w:val="22"/>
              </w:rPr>
            </w:pPr>
            <w:r w:rsidRPr="008B175C">
              <w:rPr>
                <w:rFonts w:ascii="Arial" w:hAnsi="Arial" w:cs="Arial"/>
                <w:b/>
                <w:bCs/>
                <w:szCs w:val="22"/>
              </w:rPr>
              <w:t>Name of Security</w:t>
            </w:r>
          </w:p>
        </w:tc>
        <w:tc>
          <w:tcPr>
            <w:tcW w:w="2070" w:type="dxa"/>
          </w:tcPr>
          <w:p w:rsidR="00EC001F" w:rsidRPr="008B175C" w:rsidRDefault="00EC001F" w:rsidP="0010157B">
            <w:pPr>
              <w:spacing w:after="0" w:line="240" w:lineRule="auto"/>
              <w:ind w:left="-108" w:right="-108"/>
              <w:contextualSpacing/>
              <w:jc w:val="center"/>
              <w:rPr>
                <w:rFonts w:ascii="Arial" w:hAnsi="Arial" w:cs="Arial"/>
                <w:b/>
                <w:bCs/>
                <w:szCs w:val="22"/>
              </w:rPr>
            </w:pPr>
            <w:r w:rsidRPr="008B175C">
              <w:rPr>
                <w:rFonts w:ascii="Arial" w:hAnsi="Arial" w:cs="Arial"/>
                <w:b/>
                <w:bCs/>
                <w:szCs w:val="22"/>
              </w:rPr>
              <w:t>Scheduled Date of Repayment</w:t>
            </w:r>
          </w:p>
        </w:tc>
        <w:tc>
          <w:tcPr>
            <w:tcW w:w="1800" w:type="dxa"/>
          </w:tcPr>
          <w:p w:rsidR="00EC001F" w:rsidRPr="008B175C" w:rsidRDefault="00EC001F" w:rsidP="0010157B">
            <w:pPr>
              <w:spacing w:after="0" w:line="240" w:lineRule="auto"/>
              <w:ind w:left="-108" w:right="-108"/>
              <w:contextualSpacing/>
              <w:jc w:val="center"/>
              <w:rPr>
                <w:rFonts w:ascii="Arial" w:hAnsi="Arial" w:cs="Arial"/>
                <w:b/>
                <w:bCs/>
                <w:szCs w:val="22"/>
              </w:rPr>
            </w:pPr>
            <w:r w:rsidRPr="008B175C">
              <w:rPr>
                <w:rFonts w:ascii="Arial" w:hAnsi="Arial" w:cs="Arial"/>
                <w:b/>
                <w:bCs/>
                <w:szCs w:val="22"/>
              </w:rPr>
              <w:t>Effective date of Repayment</w:t>
            </w:r>
          </w:p>
        </w:tc>
        <w:tc>
          <w:tcPr>
            <w:tcW w:w="2430" w:type="dxa"/>
          </w:tcPr>
          <w:p w:rsidR="00EC001F" w:rsidRPr="008B175C" w:rsidRDefault="00EC001F" w:rsidP="0010157B">
            <w:pPr>
              <w:spacing w:after="0" w:line="240" w:lineRule="auto"/>
              <w:ind w:left="-108" w:right="-108"/>
              <w:contextualSpacing/>
              <w:jc w:val="center"/>
              <w:rPr>
                <w:rFonts w:ascii="Arial" w:hAnsi="Arial" w:cs="Arial"/>
                <w:b/>
                <w:bCs/>
                <w:szCs w:val="22"/>
              </w:rPr>
            </w:pPr>
            <w:r w:rsidRPr="008B175C">
              <w:rPr>
                <w:rFonts w:ascii="Arial" w:hAnsi="Arial" w:cs="Arial"/>
                <w:b/>
                <w:bCs/>
                <w:szCs w:val="22"/>
              </w:rPr>
              <w:t>No Interest Accrual from scheduled date of Repayment</w:t>
            </w:r>
          </w:p>
        </w:tc>
      </w:tr>
      <w:tr w:rsidR="00EC001F" w:rsidRPr="00CE6BAD" w:rsidTr="00EC001F">
        <w:trPr>
          <w:trHeight w:val="278"/>
        </w:trPr>
        <w:tc>
          <w:tcPr>
            <w:tcW w:w="630" w:type="dxa"/>
          </w:tcPr>
          <w:p w:rsidR="00EC001F" w:rsidRPr="00CE6BAD" w:rsidRDefault="00EC001F" w:rsidP="0010157B">
            <w:pPr>
              <w:spacing w:after="0" w:line="240" w:lineRule="exact"/>
              <w:ind w:left="-118" w:right="-108"/>
              <w:contextualSpacing/>
              <w:jc w:val="center"/>
              <w:rPr>
                <w:rFonts w:ascii="Arial" w:hAnsi="Arial" w:cs="Arial"/>
                <w:b/>
                <w:bCs/>
                <w:szCs w:val="22"/>
              </w:rPr>
            </w:pPr>
            <w:r w:rsidRPr="00CE6BAD">
              <w:rPr>
                <w:rFonts w:ascii="Arial" w:hAnsi="Arial" w:cs="Arial"/>
                <w:b/>
                <w:bCs/>
                <w:szCs w:val="22"/>
              </w:rPr>
              <w:t>(1)</w:t>
            </w:r>
          </w:p>
        </w:tc>
        <w:tc>
          <w:tcPr>
            <w:tcW w:w="2160" w:type="dxa"/>
          </w:tcPr>
          <w:p w:rsidR="00EC001F" w:rsidRPr="00CE6BAD" w:rsidRDefault="00EC001F" w:rsidP="0010157B">
            <w:pPr>
              <w:spacing w:after="0" w:line="240" w:lineRule="exact"/>
              <w:ind w:left="-360" w:right="-108"/>
              <w:contextualSpacing/>
              <w:jc w:val="center"/>
              <w:rPr>
                <w:rFonts w:ascii="Arial" w:hAnsi="Arial" w:cs="Arial"/>
                <w:b/>
                <w:bCs/>
                <w:szCs w:val="22"/>
              </w:rPr>
            </w:pPr>
            <w:r w:rsidRPr="00CE6BAD">
              <w:rPr>
                <w:rFonts w:ascii="Arial" w:hAnsi="Arial" w:cs="Arial"/>
                <w:b/>
                <w:bCs/>
                <w:szCs w:val="22"/>
              </w:rPr>
              <w:t>(2)</w:t>
            </w:r>
          </w:p>
        </w:tc>
        <w:tc>
          <w:tcPr>
            <w:tcW w:w="2070" w:type="dxa"/>
          </w:tcPr>
          <w:p w:rsidR="00EC001F" w:rsidRPr="00CE6BAD" w:rsidRDefault="00EC001F" w:rsidP="0010157B">
            <w:pPr>
              <w:spacing w:after="0" w:line="240" w:lineRule="exact"/>
              <w:ind w:left="-360" w:right="-108"/>
              <w:contextualSpacing/>
              <w:jc w:val="center"/>
              <w:rPr>
                <w:rFonts w:ascii="Arial" w:hAnsi="Arial" w:cs="Arial"/>
                <w:b/>
                <w:bCs/>
                <w:szCs w:val="22"/>
              </w:rPr>
            </w:pPr>
            <w:r w:rsidRPr="00CE6BAD">
              <w:rPr>
                <w:rFonts w:ascii="Arial" w:hAnsi="Arial" w:cs="Arial"/>
                <w:b/>
                <w:bCs/>
                <w:szCs w:val="22"/>
              </w:rPr>
              <w:t>(3)</w:t>
            </w:r>
          </w:p>
        </w:tc>
        <w:tc>
          <w:tcPr>
            <w:tcW w:w="1800" w:type="dxa"/>
          </w:tcPr>
          <w:p w:rsidR="00EC001F" w:rsidRPr="00CE6BAD" w:rsidRDefault="00EC001F" w:rsidP="0010157B">
            <w:pPr>
              <w:spacing w:after="0" w:line="240" w:lineRule="exact"/>
              <w:ind w:left="-360" w:right="-108"/>
              <w:contextualSpacing/>
              <w:jc w:val="center"/>
              <w:rPr>
                <w:rFonts w:ascii="Arial" w:hAnsi="Arial" w:cs="Arial"/>
                <w:b/>
                <w:bCs/>
                <w:szCs w:val="22"/>
              </w:rPr>
            </w:pPr>
            <w:r w:rsidRPr="00CE6BAD">
              <w:rPr>
                <w:rFonts w:ascii="Arial" w:hAnsi="Arial" w:cs="Arial"/>
                <w:b/>
                <w:bCs/>
                <w:szCs w:val="22"/>
              </w:rPr>
              <w:t>(4)</w:t>
            </w:r>
          </w:p>
        </w:tc>
        <w:tc>
          <w:tcPr>
            <w:tcW w:w="2430" w:type="dxa"/>
          </w:tcPr>
          <w:p w:rsidR="00EC001F" w:rsidRPr="00CE6BAD" w:rsidRDefault="00EC001F" w:rsidP="0010157B">
            <w:pPr>
              <w:spacing w:after="0" w:line="240" w:lineRule="exact"/>
              <w:ind w:left="-360" w:right="-18"/>
              <w:contextualSpacing/>
              <w:jc w:val="center"/>
              <w:rPr>
                <w:rFonts w:ascii="Arial" w:hAnsi="Arial" w:cs="Arial"/>
                <w:b/>
                <w:bCs/>
                <w:szCs w:val="22"/>
              </w:rPr>
            </w:pPr>
            <w:r w:rsidRPr="00CE6BAD">
              <w:rPr>
                <w:rFonts w:ascii="Arial" w:hAnsi="Arial" w:cs="Arial"/>
                <w:b/>
                <w:bCs/>
                <w:szCs w:val="22"/>
              </w:rPr>
              <w:t>(5)</w:t>
            </w:r>
          </w:p>
        </w:tc>
      </w:tr>
      <w:tr w:rsidR="00EC001F" w:rsidRPr="00CE6BAD" w:rsidTr="00EC001F">
        <w:trPr>
          <w:trHeight w:val="260"/>
        </w:trPr>
        <w:tc>
          <w:tcPr>
            <w:tcW w:w="630" w:type="dxa"/>
          </w:tcPr>
          <w:p w:rsidR="00EC001F" w:rsidRPr="00992458" w:rsidRDefault="005B16D3" w:rsidP="0010157B">
            <w:pPr>
              <w:spacing w:after="0" w:line="240" w:lineRule="exact"/>
              <w:ind w:left="-118" w:right="-108"/>
              <w:contextualSpacing/>
              <w:jc w:val="center"/>
              <w:rPr>
                <w:rFonts w:ascii="Arial" w:hAnsi="Arial" w:cs="Arial"/>
                <w:szCs w:val="22"/>
              </w:rPr>
            </w:pPr>
            <w:r>
              <w:rPr>
                <w:rFonts w:ascii="Arial" w:hAnsi="Arial" w:cs="Arial"/>
                <w:szCs w:val="22"/>
              </w:rPr>
              <w:t>1</w:t>
            </w:r>
            <w:r w:rsidR="00EC001F" w:rsidRPr="00992458">
              <w:rPr>
                <w:rFonts w:ascii="Arial" w:hAnsi="Arial" w:cs="Arial"/>
                <w:szCs w:val="22"/>
              </w:rPr>
              <w:t>.</w:t>
            </w:r>
          </w:p>
        </w:tc>
        <w:tc>
          <w:tcPr>
            <w:tcW w:w="2160" w:type="dxa"/>
          </w:tcPr>
          <w:p w:rsidR="00EC001F" w:rsidRPr="00992458" w:rsidRDefault="00EC001F" w:rsidP="0010157B">
            <w:pPr>
              <w:spacing w:after="0" w:line="240" w:lineRule="exact"/>
              <w:ind w:left="-18"/>
              <w:contextualSpacing/>
              <w:jc w:val="both"/>
              <w:rPr>
                <w:rFonts w:ascii="Arial" w:hAnsi="Arial" w:cs="Arial"/>
                <w:bCs/>
                <w:szCs w:val="22"/>
              </w:rPr>
            </w:pPr>
            <w:r w:rsidRPr="00992458">
              <w:rPr>
                <w:rFonts w:ascii="Arial" w:hAnsi="Arial" w:cs="Arial"/>
                <w:bCs/>
                <w:szCs w:val="22"/>
              </w:rPr>
              <w:t>Repayment of</w:t>
            </w:r>
            <w:r>
              <w:rPr>
                <w:rFonts w:ascii="Arial" w:hAnsi="Arial" w:cs="Arial"/>
                <w:bCs/>
                <w:szCs w:val="22"/>
              </w:rPr>
              <w:t xml:space="preserve"> 8.19</w:t>
            </w:r>
            <w:r w:rsidRPr="00992458">
              <w:rPr>
                <w:rFonts w:ascii="Arial" w:hAnsi="Arial" w:cs="Arial"/>
                <w:bCs/>
                <w:szCs w:val="22"/>
              </w:rPr>
              <w:t>% GS 20</w:t>
            </w:r>
            <w:r>
              <w:rPr>
                <w:rFonts w:ascii="Arial" w:hAnsi="Arial" w:cs="Arial"/>
                <w:bCs/>
                <w:szCs w:val="22"/>
              </w:rPr>
              <w:t>20</w:t>
            </w:r>
            <w:r w:rsidRPr="00992458">
              <w:rPr>
                <w:rFonts w:ascii="Arial" w:hAnsi="Arial" w:cs="Arial"/>
                <w:bCs/>
                <w:szCs w:val="22"/>
              </w:rPr>
              <w:t xml:space="preserve"> </w:t>
            </w:r>
          </w:p>
        </w:tc>
        <w:tc>
          <w:tcPr>
            <w:tcW w:w="2070" w:type="dxa"/>
          </w:tcPr>
          <w:p w:rsidR="00EC001F" w:rsidRDefault="00EC001F" w:rsidP="0010157B">
            <w:pPr>
              <w:spacing w:after="0" w:line="240" w:lineRule="auto"/>
              <w:ind w:left="-360" w:right="-108" w:firstLine="252"/>
              <w:contextualSpacing/>
              <w:jc w:val="center"/>
              <w:rPr>
                <w:rFonts w:ascii="Arial" w:hAnsi="Arial" w:cs="Arial"/>
                <w:bCs/>
                <w:szCs w:val="22"/>
              </w:rPr>
            </w:pPr>
            <w:r>
              <w:rPr>
                <w:rFonts w:ascii="Arial" w:hAnsi="Arial" w:cs="Arial"/>
                <w:bCs/>
                <w:szCs w:val="22"/>
              </w:rPr>
              <w:t>January 16,2020</w:t>
            </w:r>
          </w:p>
          <w:p w:rsidR="00EC001F" w:rsidRPr="00992458" w:rsidRDefault="00EC001F" w:rsidP="0010157B">
            <w:pPr>
              <w:spacing w:after="0" w:line="240" w:lineRule="exact"/>
              <w:ind w:left="-108" w:right="-108"/>
              <w:contextualSpacing/>
              <w:jc w:val="center"/>
              <w:rPr>
                <w:rFonts w:ascii="Arial" w:hAnsi="Arial" w:cs="Arial"/>
                <w:bCs/>
                <w:szCs w:val="22"/>
              </w:rPr>
            </w:pPr>
            <w:r w:rsidRPr="008B175C">
              <w:rPr>
                <w:rFonts w:ascii="Arial" w:hAnsi="Arial" w:cs="Arial"/>
                <w:bCs/>
                <w:szCs w:val="22"/>
              </w:rPr>
              <w:t xml:space="preserve"> (</w:t>
            </w:r>
            <w:r>
              <w:rPr>
                <w:rFonts w:ascii="Arial" w:hAnsi="Arial" w:cs="Arial"/>
                <w:bCs/>
                <w:szCs w:val="22"/>
              </w:rPr>
              <w:t>Thursday</w:t>
            </w:r>
            <w:r w:rsidRPr="008B175C">
              <w:rPr>
                <w:rFonts w:ascii="Arial" w:hAnsi="Arial" w:cs="Arial"/>
                <w:bCs/>
                <w:szCs w:val="22"/>
              </w:rPr>
              <w:t>)</w:t>
            </w:r>
          </w:p>
        </w:tc>
        <w:tc>
          <w:tcPr>
            <w:tcW w:w="1800" w:type="dxa"/>
          </w:tcPr>
          <w:p w:rsidR="00EC001F" w:rsidRDefault="00EC001F" w:rsidP="0010157B">
            <w:pPr>
              <w:spacing w:after="0" w:line="240" w:lineRule="auto"/>
              <w:ind w:left="-360" w:right="-108" w:firstLine="252"/>
              <w:contextualSpacing/>
              <w:jc w:val="center"/>
              <w:rPr>
                <w:rFonts w:ascii="Arial" w:hAnsi="Arial" w:cs="Arial"/>
                <w:bCs/>
                <w:szCs w:val="22"/>
              </w:rPr>
            </w:pPr>
            <w:r>
              <w:rPr>
                <w:rFonts w:ascii="Arial" w:hAnsi="Arial" w:cs="Arial"/>
                <w:bCs/>
                <w:szCs w:val="22"/>
              </w:rPr>
              <w:t>January 16,2020</w:t>
            </w:r>
          </w:p>
          <w:p w:rsidR="00EC001F" w:rsidRPr="00992458" w:rsidRDefault="00EC001F" w:rsidP="0010157B">
            <w:pPr>
              <w:spacing w:after="0" w:line="240" w:lineRule="exact"/>
              <w:ind w:left="-108" w:right="-108"/>
              <w:contextualSpacing/>
              <w:jc w:val="center"/>
              <w:rPr>
                <w:rFonts w:ascii="Arial" w:hAnsi="Arial" w:cs="Arial"/>
                <w:bCs/>
                <w:szCs w:val="22"/>
              </w:rPr>
            </w:pPr>
            <w:r w:rsidRPr="008B175C">
              <w:rPr>
                <w:rFonts w:ascii="Arial" w:hAnsi="Arial" w:cs="Arial"/>
                <w:bCs/>
                <w:szCs w:val="22"/>
              </w:rPr>
              <w:t xml:space="preserve"> (</w:t>
            </w:r>
            <w:r>
              <w:rPr>
                <w:rFonts w:ascii="Arial" w:hAnsi="Arial" w:cs="Arial"/>
                <w:bCs/>
                <w:szCs w:val="22"/>
              </w:rPr>
              <w:t>Thursday</w:t>
            </w:r>
            <w:r w:rsidRPr="008B175C">
              <w:rPr>
                <w:rFonts w:ascii="Arial" w:hAnsi="Arial" w:cs="Arial"/>
                <w:bCs/>
                <w:szCs w:val="22"/>
              </w:rPr>
              <w:t>)</w:t>
            </w:r>
          </w:p>
        </w:tc>
        <w:tc>
          <w:tcPr>
            <w:tcW w:w="2430" w:type="dxa"/>
          </w:tcPr>
          <w:p w:rsidR="00EC001F" w:rsidRDefault="00EC001F" w:rsidP="0010157B">
            <w:pPr>
              <w:spacing w:after="0" w:line="240" w:lineRule="auto"/>
              <w:ind w:left="-360" w:right="-108" w:firstLine="252"/>
              <w:contextualSpacing/>
              <w:jc w:val="center"/>
              <w:rPr>
                <w:rFonts w:ascii="Arial" w:hAnsi="Arial" w:cs="Arial"/>
                <w:bCs/>
                <w:szCs w:val="22"/>
              </w:rPr>
            </w:pPr>
            <w:r>
              <w:rPr>
                <w:rFonts w:ascii="Arial" w:hAnsi="Arial" w:cs="Arial"/>
                <w:bCs/>
                <w:szCs w:val="22"/>
              </w:rPr>
              <w:t>January 16,2020</w:t>
            </w:r>
          </w:p>
          <w:p w:rsidR="00EC001F" w:rsidRPr="00992458" w:rsidRDefault="00EC001F" w:rsidP="0010157B">
            <w:pPr>
              <w:spacing w:after="0" w:line="240" w:lineRule="exact"/>
              <w:ind w:left="-108" w:right="-108"/>
              <w:contextualSpacing/>
              <w:jc w:val="center"/>
              <w:rPr>
                <w:rFonts w:ascii="Arial" w:hAnsi="Arial" w:cs="Arial"/>
                <w:bCs/>
                <w:szCs w:val="22"/>
              </w:rPr>
            </w:pPr>
            <w:r w:rsidRPr="008B175C">
              <w:rPr>
                <w:rFonts w:ascii="Arial" w:hAnsi="Arial" w:cs="Arial"/>
                <w:bCs/>
                <w:szCs w:val="22"/>
              </w:rPr>
              <w:t xml:space="preserve"> (</w:t>
            </w:r>
            <w:r>
              <w:rPr>
                <w:rFonts w:ascii="Arial" w:hAnsi="Arial" w:cs="Arial"/>
                <w:bCs/>
                <w:szCs w:val="22"/>
              </w:rPr>
              <w:t>Thursday</w:t>
            </w:r>
            <w:r w:rsidRPr="008B175C">
              <w:rPr>
                <w:rFonts w:ascii="Arial" w:hAnsi="Arial" w:cs="Arial"/>
                <w:bCs/>
                <w:szCs w:val="22"/>
              </w:rPr>
              <w:t>)</w:t>
            </w:r>
          </w:p>
        </w:tc>
      </w:tr>
    </w:tbl>
    <w:p w:rsidR="00EC001F" w:rsidRDefault="00EC001F" w:rsidP="003362FF">
      <w:pPr>
        <w:pStyle w:val="InsideAddress"/>
        <w:ind w:right="11"/>
        <w:rPr>
          <w:sz w:val="26"/>
          <w:szCs w:val="26"/>
        </w:rPr>
      </w:pPr>
    </w:p>
    <w:p w:rsidR="003362FF" w:rsidRDefault="003362FF" w:rsidP="003362FF">
      <w:pPr>
        <w:pStyle w:val="List"/>
        <w:ind w:left="0" w:right="11" w:firstLine="0"/>
        <w:jc w:val="both"/>
        <w:rPr>
          <w:sz w:val="26"/>
          <w:szCs w:val="26"/>
        </w:rPr>
      </w:pPr>
      <w:r>
        <w:rPr>
          <w:sz w:val="26"/>
          <w:szCs w:val="26"/>
        </w:rPr>
        <w:t xml:space="preserve">The outstanding balance </w:t>
      </w:r>
      <w:r w:rsidRPr="00503718">
        <w:rPr>
          <w:sz w:val="26"/>
          <w:szCs w:val="26"/>
        </w:rPr>
        <w:t xml:space="preserve">under </w:t>
      </w:r>
      <w:r w:rsidR="00EC001F">
        <w:rPr>
          <w:sz w:val="26"/>
          <w:szCs w:val="26"/>
        </w:rPr>
        <w:t xml:space="preserve">both the securities </w:t>
      </w:r>
      <w:r w:rsidRPr="00503718">
        <w:rPr>
          <w:sz w:val="24"/>
          <w:szCs w:val="24"/>
        </w:rPr>
        <w:t xml:space="preserve">will be repayable on the </w:t>
      </w:r>
      <w:r w:rsidR="00945DDE" w:rsidRPr="00503718">
        <w:rPr>
          <w:sz w:val="24"/>
          <w:szCs w:val="24"/>
        </w:rPr>
        <w:t xml:space="preserve">effective </w:t>
      </w:r>
      <w:r w:rsidRPr="00503718">
        <w:rPr>
          <w:sz w:val="24"/>
          <w:szCs w:val="24"/>
        </w:rPr>
        <w:t>date of repayment as indicated in column 4 of above table</w:t>
      </w:r>
      <w:r w:rsidRPr="003362FF">
        <w:rPr>
          <w:sz w:val="24"/>
          <w:szCs w:val="24"/>
        </w:rPr>
        <w:t>.</w:t>
      </w:r>
      <w:r>
        <w:rPr>
          <w:sz w:val="26"/>
          <w:szCs w:val="26"/>
        </w:rPr>
        <w:t xml:space="preserve">In the event of a holiday being declared on </w:t>
      </w:r>
      <w:r w:rsidR="00945DDE">
        <w:rPr>
          <w:sz w:val="26"/>
          <w:szCs w:val="26"/>
        </w:rPr>
        <w:t xml:space="preserve">effective </w:t>
      </w:r>
      <w:r w:rsidR="00144E4F">
        <w:rPr>
          <w:sz w:val="26"/>
          <w:szCs w:val="26"/>
        </w:rPr>
        <w:t xml:space="preserve">day of repayment </w:t>
      </w:r>
      <w:r>
        <w:rPr>
          <w:sz w:val="26"/>
          <w:szCs w:val="26"/>
        </w:rPr>
        <w:t>by any State Government under the Negotiable Instruments Act, 1881, the Loan/s will be repaid by the paying offices in that State on the previous wo</w:t>
      </w:r>
      <w:bookmarkStart w:id="0" w:name="_GoBack"/>
      <w:bookmarkEnd w:id="0"/>
      <w:r>
        <w:rPr>
          <w:sz w:val="26"/>
          <w:szCs w:val="26"/>
        </w:rPr>
        <w:t xml:space="preserve">rking day. </w:t>
      </w:r>
    </w:p>
    <w:p w:rsidR="003362FF" w:rsidRPr="00144E4F" w:rsidRDefault="003362FF" w:rsidP="003362FF">
      <w:pPr>
        <w:pStyle w:val="List"/>
        <w:ind w:left="0" w:right="11" w:firstLine="0"/>
        <w:jc w:val="both"/>
        <w:rPr>
          <w:sz w:val="16"/>
          <w:szCs w:val="26"/>
        </w:rPr>
      </w:pPr>
    </w:p>
    <w:p w:rsidR="003362FF" w:rsidRDefault="003362FF" w:rsidP="00945DDE">
      <w:pPr>
        <w:pStyle w:val="List"/>
        <w:tabs>
          <w:tab w:val="left" w:pos="360"/>
        </w:tabs>
        <w:ind w:left="0" w:right="11" w:firstLine="0"/>
        <w:jc w:val="both"/>
        <w:rPr>
          <w:sz w:val="26"/>
          <w:szCs w:val="26"/>
        </w:rPr>
      </w:pPr>
      <w:r>
        <w:rPr>
          <w:sz w:val="26"/>
          <w:szCs w:val="26"/>
        </w:rPr>
        <w:t>2. As per sub-regulations 24 (2) and 24(3) of Government Securities Regulations, 2007 payment of maturity proceeds to the registered holder of Government Security held in the form of Subsidiary General Ledger or Constituent Subsidiary General Ledger account or Stock Certificate shall be made by a pay order incorporating the relevant particulars of his bank account or by credit to the account of the holder in any bank having facility of receipt of funds through electronic means. For the purpose of making payment in respect of the securities, the original subscriber or the subsequent holders of such Government Securities, shall submit the relevant particulars of their bank account well in advance.</w:t>
      </w:r>
      <w:r w:rsidR="00EC001F">
        <w:rPr>
          <w:sz w:val="26"/>
          <w:szCs w:val="26"/>
        </w:rPr>
        <w:t xml:space="preserve"> </w:t>
      </w:r>
      <w:r>
        <w:rPr>
          <w:sz w:val="26"/>
          <w:szCs w:val="26"/>
          <w:u w:val="single"/>
        </w:rPr>
        <w:t>However, in the absence of relevant particulars of bank account / mandate for receipt of funds through electronic means</w:t>
      </w:r>
      <w:r>
        <w:rPr>
          <w:sz w:val="26"/>
          <w:szCs w:val="26"/>
        </w:rPr>
        <w:t xml:space="preserve">, to facilitate repayment of the Loan on the due date, holders may tender the securities, duly discharged, at the Public Debt Offices, Treasuries / Sub-Treasuries and branches of State Bank of India (at which they are enfaced / registered for payment of interest) 20 days in advance of the due date for repayment. </w:t>
      </w:r>
    </w:p>
    <w:p w:rsidR="003362FF" w:rsidRPr="00144E4F" w:rsidRDefault="003362FF" w:rsidP="00945DDE">
      <w:pPr>
        <w:spacing w:after="0" w:line="240" w:lineRule="auto"/>
        <w:ind w:right="11"/>
        <w:jc w:val="both"/>
        <w:rPr>
          <w:rFonts w:ascii="Arial" w:hAnsi="Arial" w:cs="Arial"/>
          <w:sz w:val="12"/>
          <w:szCs w:val="26"/>
        </w:rPr>
      </w:pPr>
    </w:p>
    <w:p w:rsidR="003362FF" w:rsidRDefault="003362FF" w:rsidP="00945DDE">
      <w:pPr>
        <w:spacing w:after="0" w:line="240" w:lineRule="auto"/>
        <w:ind w:right="11"/>
        <w:contextualSpacing/>
        <w:jc w:val="both"/>
        <w:rPr>
          <w:rFonts w:ascii="Arial" w:hAnsi="Arial" w:cs="Arial"/>
          <w:color w:val="FF0000"/>
          <w:sz w:val="26"/>
          <w:szCs w:val="26"/>
        </w:rPr>
      </w:pPr>
      <w:r>
        <w:rPr>
          <w:rFonts w:ascii="Arial" w:hAnsi="Arial" w:cs="Arial"/>
          <w:sz w:val="26"/>
          <w:szCs w:val="26"/>
        </w:rPr>
        <w:t>3. Full details of the procedure for receiving the discharge value may be obtained from any of the aforesaid paying offices.</w:t>
      </w:r>
    </w:p>
    <w:p w:rsidR="003362FF" w:rsidRDefault="003362FF" w:rsidP="00945DDE">
      <w:pPr>
        <w:tabs>
          <w:tab w:val="center" w:pos="810"/>
        </w:tabs>
        <w:spacing w:after="0" w:line="240" w:lineRule="auto"/>
        <w:ind w:right="11"/>
        <w:contextualSpacing/>
        <w:jc w:val="both"/>
        <w:rPr>
          <w:rFonts w:ascii="Arial" w:hAnsi="Arial" w:cs="Arial"/>
          <w:sz w:val="14"/>
          <w:szCs w:val="26"/>
        </w:rPr>
      </w:pPr>
    </w:p>
    <w:p w:rsidR="00945DDE" w:rsidRDefault="00945DDE" w:rsidP="00945DDE">
      <w:pPr>
        <w:tabs>
          <w:tab w:val="center" w:pos="810"/>
        </w:tabs>
        <w:spacing w:after="0" w:line="240" w:lineRule="auto"/>
        <w:ind w:right="11"/>
        <w:contextualSpacing/>
        <w:jc w:val="both"/>
        <w:rPr>
          <w:rFonts w:ascii="Arial" w:hAnsi="Arial" w:cs="Arial"/>
          <w:sz w:val="14"/>
          <w:szCs w:val="26"/>
        </w:rPr>
      </w:pPr>
    </w:p>
    <w:p w:rsidR="00945DDE" w:rsidRPr="00F93A99" w:rsidRDefault="00945DDE" w:rsidP="00945DDE">
      <w:pPr>
        <w:tabs>
          <w:tab w:val="center" w:pos="810"/>
        </w:tabs>
        <w:spacing w:after="0" w:line="240" w:lineRule="auto"/>
        <w:ind w:right="11"/>
        <w:contextualSpacing/>
        <w:jc w:val="both"/>
        <w:rPr>
          <w:rFonts w:ascii="Arial" w:hAnsi="Arial" w:cs="Arial"/>
          <w:sz w:val="14"/>
          <w:szCs w:val="26"/>
        </w:rPr>
      </w:pPr>
    </w:p>
    <w:p w:rsidR="003362FF" w:rsidRDefault="003362FF" w:rsidP="00945DDE">
      <w:pPr>
        <w:tabs>
          <w:tab w:val="center" w:pos="810"/>
        </w:tabs>
        <w:spacing w:line="240" w:lineRule="auto"/>
        <w:ind w:right="11"/>
        <w:contextualSpacing/>
        <w:jc w:val="both"/>
        <w:rPr>
          <w:rFonts w:ascii="Arial" w:hAnsi="Arial" w:cs="Arial"/>
          <w:sz w:val="26"/>
          <w:szCs w:val="26"/>
        </w:rPr>
      </w:pPr>
      <w:r>
        <w:rPr>
          <w:rFonts w:ascii="Arial" w:hAnsi="Arial" w:cs="Arial"/>
          <w:sz w:val="26"/>
          <w:szCs w:val="26"/>
        </w:rPr>
        <w:t>Government of India</w:t>
      </w:r>
    </w:p>
    <w:p w:rsidR="003362FF" w:rsidRDefault="003362FF" w:rsidP="00945DDE">
      <w:pPr>
        <w:spacing w:line="240" w:lineRule="auto"/>
        <w:ind w:right="11"/>
        <w:contextualSpacing/>
        <w:jc w:val="both"/>
        <w:rPr>
          <w:rFonts w:ascii="Arial" w:hAnsi="Arial" w:cs="Arial"/>
          <w:sz w:val="26"/>
          <w:szCs w:val="26"/>
        </w:rPr>
      </w:pPr>
      <w:r>
        <w:rPr>
          <w:rFonts w:ascii="Arial" w:hAnsi="Arial" w:cs="Arial"/>
          <w:sz w:val="26"/>
          <w:szCs w:val="26"/>
        </w:rPr>
        <w:t>Ministry of Finance</w:t>
      </w:r>
    </w:p>
    <w:p w:rsidR="003362FF" w:rsidRDefault="003362FF" w:rsidP="00945DDE">
      <w:pPr>
        <w:tabs>
          <w:tab w:val="center" w:pos="810"/>
        </w:tabs>
        <w:spacing w:line="240" w:lineRule="auto"/>
        <w:ind w:right="11"/>
        <w:contextualSpacing/>
        <w:jc w:val="both"/>
        <w:rPr>
          <w:rFonts w:ascii="Arial" w:hAnsi="Arial" w:cs="Arial"/>
          <w:sz w:val="26"/>
          <w:szCs w:val="26"/>
        </w:rPr>
      </w:pPr>
      <w:r>
        <w:rPr>
          <w:rFonts w:ascii="Arial" w:hAnsi="Arial" w:cs="Arial"/>
          <w:sz w:val="26"/>
          <w:szCs w:val="26"/>
        </w:rPr>
        <w:t>Department of Economic Affairs</w:t>
      </w:r>
    </w:p>
    <w:p w:rsidR="003362FF" w:rsidRDefault="003362FF" w:rsidP="00945DDE">
      <w:pPr>
        <w:tabs>
          <w:tab w:val="center" w:pos="810"/>
        </w:tabs>
        <w:spacing w:line="240" w:lineRule="auto"/>
        <w:ind w:right="11"/>
        <w:contextualSpacing/>
        <w:jc w:val="both"/>
        <w:rPr>
          <w:rFonts w:ascii="Arial" w:hAnsi="Arial" w:cs="Arial"/>
          <w:sz w:val="26"/>
          <w:szCs w:val="26"/>
        </w:rPr>
      </w:pPr>
      <w:r>
        <w:rPr>
          <w:rFonts w:ascii="Arial" w:hAnsi="Arial" w:cs="Arial"/>
          <w:sz w:val="26"/>
          <w:szCs w:val="26"/>
        </w:rPr>
        <w:t>Budget Division</w:t>
      </w:r>
    </w:p>
    <w:p w:rsidR="003362FF" w:rsidRDefault="003362FF" w:rsidP="00945DDE">
      <w:pPr>
        <w:spacing w:line="240" w:lineRule="auto"/>
        <w:ind w:right="11"/>
        <w:contextualSpacing/>
        <w:jc w:val="both"/>
        <w:rPr>
          <w:rFonts w:ascii="Arial" w:hAnsi="Arial" w:cs="Arial"/>
          <w:sz w:val="26"/>
          <w:szCs w:val="26"/>
        </w:rPr>
      </w:pPr>
      <w:r>
        <w:rPr>
          <w:rFonts w:ascii="Arial" w:hAnsi="Arial" w:cs="Arial"/>
          <w:sz w:val="26"/>
          <w:szCs w:val="26"/>
        </w:rPr>
        <w:t xml:space="preserve">North Block, </w:t>
      </w:r>
    </w:p>
    <w:p w:rsidR="003362FF" w:rsidRPr="00AD59A1" w:rsidRDefault="003362FF" w:rsidP="00945DDE">
      <w:pPr>
        <w:spacing w:line="240" w:lineRule="auto"/>
        <w:ind w:right="11"/>
        <w:contextualSpacing/>
        <w:jc w:val="both"/>
        <w:rPr>
          <w:rFonts w:ascii="Arial" w:hAnsi="Arial" w:cs="Arial"/>
          <w:sz w:val="26"/>
          <w:szCs w:val="26"/>
        </w:rPr>
      </w:pPr>
      <w:r>
        <w:rPr>
          <w:rFonts w:ascii="Arial" w:hAnsi="Arial" w:cs="Arial"/>
          <w:sz w:val="26"/>
          <w:szCs w:val="26"/>
        </w:rPr>
        <w:t>New Delhi-110 001</w:t>
      </w:r>
    </w:p>
    <w:p w:rsidR="00F93A99" w:rsidRPr="00352995" w:rsidRDefault="003362FF" w:rsidP="00945DDE">
      <w:pPr>
        <w:spacing w:line="240" w:lineRule="auto"/>
        <w:ind w:right="11"/>
        <w:contextualSpacing/>
        <w:jc w:val="both"/>
        <w:rPr>
          <w:rFonts w:ascii="Arial" w:hAnsi="Arial" w:cs="Arial"/>
          <w:b/>
          <w:sz w:val="26"/>
          <w:szCs w:val="26"/>
        </w:rPr>
      </w:pPr>
      <w:proofErr w:type="gramStart"/>
      <w:r w:rsidRPr="00AD59A1">
        <w:rPr>
          <w:rFonts w:ascii="Arial" w:hAnsi="Arial" w:cs="Arial"/>
          <w:b/>
          <w:sz w:val="26"/>
          <w:szCs w:val="26"/>
        </w:rPr>
        <w:t xml:space="preserve">Dated </w:t>
      </w:r>
      <w:r w:rsidR="00EC001F">
        <w:rPr>
          <w:rFonts w:ascii="Arial" w:hAnsi="Arial" w:cs="Arial"/>
          <w:b/>
          <w:sz w:val="26"/>
          <w:szCs w:val="26"/>
        </w:rPr>
        <w:t xml:space="preserve">December </w:t>
      </w:r>
      <w:r w:rsidR="005B16D3">
        <w:rPr>
          <w:rFonts w:ascii="Arial" w:hAnsi="Arial" w:cs="Arial"/>
          <w:b/>
          <w:sz w:val="26"/>
          <w:szCs w:val="26"/>
        </w:rPr>
        <w:t>2</w:t>
      </w:r>
      <w:r w:rsidR="002D16D9">
        <w:rPr>
          <w:rFonts w:ascii="Arial" w:hAnsi="Arial" w:cs="Arial"/>
          <w:b/>
          <w:sz w:val="26"/>
          <w:szCs w:val="26"/>
        </w:rPr>
        <w:t>0</w:t>
      </w:r>
      <w:r w:rsidRPr="00AD59A1">
        <w:rPr>
          <w:rFonts w:ascii="Arial" w:hAnsi="Arial" w:cs="Arial"/>
          <w:b/>
          <w:sz w:val="26"/>
          <w:szCs w:val="26"/>
        </w:rPr>
        <w:t>, 201</w:t>
      </w:r>
      <w:r w:rsidR="00EE206B">
        <w:rPr>
          <w:rFonts w:ascii="Arial" w:hAnsi="Arial" w:cs="Arial"/>
          <w:b/>
          <w:sz w:val="26"/>
          <w:szCs w:val="26"/>
        </w:rPr>
        <w:t>9</w:t>
      </w:r>
      <w:r w:rsidR="00352995">
        <w:rPr>
          <w:rFonts w:ascii="Arial" w:hAnsi="Arial" w:cs="Arial"/>
          <w:b/>
          <w:sz w:val="26"/>
          <w:szCs w:val="26"/>
        </w:rPr>
        <w:t>.</w:t>
      </w:r>
      <w:proofErr w:type="gramEnd"/>
    </w:p>
    <w:p w:rsidR="00F93A99" w:rsidRDefault="00F93A99" w:rsidP="00945DDE">
      <w:pPr>
        <w:spacing w:line="240" w:lineRule="auto"/>
        <w:ind w:right="11"/>
        <w:contextualSpacing/>
        <w:jc w:val="both"/>
        <w:rPr>
          <w:rFonts w:ascii="Arial" w:hAnsi="Arial" w:cs="Arial"/>
          <w:b/>
          <w:sz w:val="20"/>
          <w:szCs w:val="26"/>
          <w:u w:val="single"/>
        </w:rPr>
      </w:pPr>
    </w:p>
    <w:p w:rsidR="00281B24" w:rsidRDefault="00281B24" w:rsidP="00945DDE">
      <w:pPr>
        <w:spacing w:line="240" w:lineRule="auto"/>
        <w:ind w:right="11"/>
        <w:contextualSpacing/>
        <w:jc w:val="both"/>
        <w:rPr>
          <w:rFonts w:ascii="Arial" w:hAnsi="Arial" w:cs="Arial"/>
          <w:b/>
          <w:sz w:val="20"/>
          <w:szCs w:val="26"/>
          <w:u w:val="single"/>
        </w:rPr>
      </w:pPr>
    </w:p>
    <w:sectPr w:rsidR="00281B24" w:rsidSect="00352995">
      <w:pgSz w:w="11909" w:h="16834" w:code="9"/>
      <w:pgMar w:top="630" w:right="720" w:bottom="54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66411"/>
    <w:multiLevelType w:val="hybridMultilevel"/>
    <w:tmpl w:val="DAE41D94"/>
    <w:lvl w:ilvl="0" w:tplc="EDDA513C">
      <w:start w:val="1"/>
      <w:numFmt w:val="decimal"/>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2E60F7"/>
    <w:multiLevelType w:val="hybridMultilevel"/>
    <w:tmpl w:val="7BF01A6A"/>
    <w:lvl w:ilvl="0" w:tplc="06568D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169E"/>
    <w:rsid w:val="0001548B"/>
    <w:rsid w:val="000246BE"/>
    <w:rsid w:val="0005370E"/>
    <w:rsid w:val="00071643"/>
    <w:rsid w:val="00082BA2"/>
    <w:rsid w:val="000A202C"/>
    <w:rsid w:val="000F2875"/>
    <w:rsid w:val="00132A55"/>
    <w:rsid w:val="00144E4F"/>
    <w:rsid w:val="0015084C"/>
    <w:rsid w:val="00150CC5"/>
    <w:rsid w:val="00155545"/>
    <w:rsid w:val="00166063"/>
    <w:rsid w:val="001A27E4"/>
    <w:rsid w:val="001B248D"/>
    <w:rsid w:val="001B2A38"/>
    <w:rsid w:val="00205B2C"/>
    <w:rsid w:val="00254B26"/>
    <w:rsid w:val="00260E8D"/>
    <w:rsid w:val="00281B24"/>
    <w:rsid w:val="002A3B03"/>
    <w:rsid w:val="002D16D9"/>
    <w:rsid w:val="00303749"/>
    <w:rsid w:val="003115BC"/>
    <w:rsid w:val="00335BF5"/>
    <w:rsid w:val="003362FF"/>
    <w:rsid w:val="00352995"/>
    <w:rsid w:val="003B192B"/>
    <w:rsid w:val="003D169E"/>
    <w:rsid w:val="004073E3"/>
    <w:rsid w:val="00423C5B"/>
    <w:rsid w:val="00483BFC"/>
    <w:rsid w:val="004B209B"/>
    <w:rsid w:val="004C3535"/>
    <w:rsid w:val="004D0FDE"/>
    <w:rsid w:val="004D50AD"/>
    <w:rsid w:val="004E4E68"/>
    <w:rsid w:val="004F74BA"/>
    <w:rsid w:val="00503718"/>
    <w:rsid w:val="00514311"/>
    <w:rsid w:val="00530156"/>
    <w:rsid w:val="00533A6D"/>
    <w:rsid w:val="005468E2"/>
    <w:rsid w:val="00556D9E"/>
    <w:rsid w:val="005A602B"/>
    <w:rsid w:val="005B16D3"/>
    <w:rsid w:val="005F2E40"/>
    <w:rsid w:val="0063690B"/>
    <w:rsid w:val="006504F5"/>
    <w:rsid w:val="00651EA4"/>
    <w:rsid w:val="006704DB"/>
    <w:rsid w:val="0067685C"/>
    <w:rsid w:val="006B6210"/>
    <w:rsid w:val="006F51D2"/>
    <w:rsid w:val="00712D8B"/>
    <w:rsid w:val="00713B7E"/>
    <w:rsid w:val="00747BB0"/>
    <w:rsid w:val="007A7DD6"/>
    <w:rsid w:val="007B6720"/>
    <w:rsid w:val="007D4402"/>
    <w:rsid w:val="007D4A14"/>
    <w:rsid w:val="00810114"/>
    <w:rsid w:val="00817B38"/>
    <w:rsid w:val="008333C7"/>
    <w:rsid w:val="0083739B"/>
    <w:rsid w:val="0085477C"/>
    <w:rsid w:val="008738E9"/>
    <w:rsid w:val="008B175C"/>
    <w:rsid w:val="009032C8"/>
    <w:rsid w:val="00933A3A"/>
    <w:rsid w:val="00941926"/>
    <w:rsid w:val="00945DDE"/>
    <w:rsid w:val="009A33B4"/>
    <w:rsid w:val="009F2994"/>
    <w:rsid w:val="00A1629C"/>
    <w:rsid w:val="00A20268"/>
    <w:rsid w:val="00A73425"/>
    <w:rsid w:val="00A8225A"/>
    <w:rsid w:val="00AD59A1"/>
    <w:rsid w:val="00AE70F0"/>
    <w:rsid w:val="00B02DE4"/>
    <w:rsid w:val="00B33DFF"/>
    <w:rsid w:val="00B85D6B"/>
    <w:rsid w:val="00B87979"/>
    <w:rsid w:val="00B957AF"/>
    <w:rsid w:val="00BC39CA"/>
    <w:rsid w:val="00BE32CF"/>
    <w:rsid w:val="00BE377F"/>
    <w:rsid w:val="00BE66BE"/>
    <w:rsid w:val="00BF666E"/>
    <w:rsid w:val="00C34AF3"/>
    <w:rsid w:val="00C35F7E"/>
    <w:rsid w:val="00CA6842"/>
    <w:rsid w:val="00CC603A"/>
    <w:rsid w:val="00CC78BA"/>
    <w:rsid w:val="00CF4932"/>
    <w:rsid w:val="00CF6F57"/>
    <w:rsid w:val="00D13FA8"/>
    <w:rsid w:val="00D36356"/>
    <w:rsid w:val="00D538DA"/>
    <w:rsid w:val="00D55C2B"/>
    <w:rsid w:val="00D7636D"/>
    <w:rsid w:val="00DA1CF3"/>
    <w:rsid w:val="00DA6975"/>
    <w:rsid w:val="00DC0482"/>
    <w:rsid w:val="00DD3074"/>
    <w:rsid w:val="00DE732D"/>
    <w:rsid w:val="00E00C3C"/>
    <w:rsid w:val="00E077BD"/>
    <w:rsid w:val="00E1101B"/>
    <w:rsid w:val="00E24423"/>
    <w:rsid w:val="00E44612"/>
    <w:rsid w:val="00E55FFA"/>
    <w:rsid w:val="00EB6E66"/>
    <w:rsid w:val="00EC001F"/>
    <w:rsid w:val="00EE206B"/>
    <w:rsid w:val="00EF0D24"/>
    <w:rsid w:val="00F0362C"/>
    <w:rsid w:val="00F2392F"/>
    <w:rsid w:val="00F276D0"/>
    <w:rsid w:val="00F54848"/>
    <w:rsid w:val="00F62AF1"/>
    <w:rsid w:val="00F71895"/>
    <w:rsid w:val="00F72A0A"/>
    <w:rsid w:val="00F93A99"/>
    <w:rsid w:val="00F94172"/>
    <w:rsid w:val="00FB54BB"/>
    <w:rsid w:val="00FB584E"/>
    <w:rsid w:val="00FD1DF7"/>
    <w:rsid w:val="00FE19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3D169E"/>
    <w:pPr>
      <w:spacing w:after="0" w:line="240" w:lineRule="auto"/>
      <w:ind w:left="360" w:hanging="360"/>
    </w:pPr>
    <w:rPr>
      <w:rFonts w:ascii="Arial" w:eastAsia="Times New Roman" w:hAnsi="Arial" w:cs="Arial"/>
      <w:szCs w:val="22"/>
      <w:lang w:bidi="ar-SA"/>
    </w:rPr>
  </w:style>
  <w:style w:type="paragraph" w:styleId="BodyText">
    <w:name w:val="Body Text"/>
    <w:basedOn w:val="Normal"/>
    <w:link w:val="BodyTextChar"/>
    <w:uiPriority w:val="99"/>
    <w:semiHidden/>
    <w:unhideWhenUsed/>
    <w:rsid w:val="003D169E"/>
    <w:pPr>
      <w:spacing w:after="120"/>
    </w:pPr>
  </w:style>
  <w:style w:type="character" w:customStyle="1" w:styleId="BodyTextChar">
    <w:name w:val="Body Text Char"/>
    <w:basedOn w:val="DefaultParagraphFont"/>
    <w:link w:val="BodyText"/>
    <w:uiPriority w:val="99"/>
    <w:semiHidden/>
    <w:rsid w:val="003D169E"/>
    <w:rPr>
      <w:rFonts w:eastAsiaTheme="minorEastAsia"/>
      <w:szCs w:val="20"/>
      <w:lang w:val="en-IN" w:eastAsia="en-IN" w:bidi="hi-IN"/>
    </w:rPr>
  </w:style>
  <w:style w:type="paragraph" w:styleId="NoSpacing">
    <w:name w:val="No Spacing"/>
    <w:uiPriority w:val="1"/>
    <w:qFormat/>
    <w:rsid w:val="003D169E"/>
    <w:pPr>
      <w:spacing w:after="0" w:line="240" w:lineRule="auto"/>
    </w:pPr>
    <w:rPr>
      <w:lang w:val="en-IN" w:eastAsia="en-IN"/>
    </w:rPr>
  </w:style>
  <w:style w:type="paragraph" w:styleId="ListParagraph">
    <w:name w:val="List Paragraph"/>
    <w:basedOn w:val="Normal"/>
    <w:uiPriority w:val="34"/>
    <w:qFormat/>
    <w:rsid w:val="003D169E"/>
    <w:pPr>
      <w:ind w:left="720"/>
      <w:contextualSpacing/>
    </w:pPr>
  </w:style>
  <w:style w:type="paragraph" w:customStyle="1" w:styleId="InsideAddress">
    <w:name w:val="Inside Address"/>
    <w:basedOn w:val="Normal"/>
    <w:rsid w:val="003D169E"/>
    <w:pPr>
      <w:spacing w:after="0" w:line="240" w:lineRule="auto"/>
    </w:pPr>
    <w:rPr>
      <w:rFonts w:ascii="Arial" w:eastAsia="Times New Roman" w:hAnsi="Arial" w:cs="Arial"/>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3D169E"/>
    <w:pPr>
      <w:spacing w:after="0" w:line="240" w:lineRule="auto"/>
      <w:ind w:left="360" w:hanging="360"/>
    </w:pPr>
    <w:rPr>
      <w:rFonts w:ascii="Arial" w:eastAsia="Times New Roman" w:hAnsi="Arial" w:cs="Arial"/>
      <w:szCs w:val="22"/>
      <w:lang w:bidi="ar-SA"/>
    </w:rPr>
  </w:style>
  <w:style w:type="paragraph" w:styleId="BodyText">
    <w:name w:val="Body Text"/>
    <w:basedOn w:val="Normal"/>
    <w:link w:val="BodyTextChar"/>
    <w:uiPriority w:val="99"/>
    <w:semiHidden/>
    <w:unhideWhenUsed/>
    <w:rsid w:val="003D169E"/>
    <w:pPr>
      <w:spacing w:after="120"/>
    </w:pPr>
  </w:style>
  <w:style w:type="character" w:customStyle="1" w:styleId="BodyTextChar">
    <w:name w:val="Body Text Char"/>
    <w:basedOn w:val="DefaultParagraphFont"/>
    <w:link w:val="BodyText"/>
    <w:uiPriority w:val="99"/>
    <w:semiHidden/>
    <w:rsid w:val="003D169E"/>
    <w:rPr>
      <w:rFonts w:eastAsiaTheme="minorEastAsia"/>
      <w:szCs w:val="20"/>
      <w:lang w:val="en-IN" w:eastAsia="en-IN" w:bidi="hi-IN"/>
    </w:rPr>
  </w:style>
  <w:style w:type="paragraph" w:styleId="NoSpacing">
    <w:name w:val="No Spacing"/>
    <w:uiPriority w:val="1"/>
    <w:qFormat/>
    <w:rsid w:val="003D169E"/>
    <w:pPr>
      <w:spacing w:after="0" w:line="240" w:lineRule="auto"/>
    </w:pPr>
    <w:rPr>
      <w:lang w:val="en-IN" w:eastAsia="en-IN"/>
    </w:rPr>
  </w:style>
  <w:style w:type="paragraph" w:styleId="ListParagraph">
    <w:name w:val="List Paragraph"/>
    <w:basedOn w:val="Normal"/>
    <w:uiPriority w:val="34"/>
    <w:qFormat/>
    <w:rsid w:val="003D169E"/>
    <w:pPr>
      <w:ind w:left="720"/>
      <w:contextualSpacing/>
    </w:pPr>
  </w:style>
  <w:style w:type="paragraph" w:customStyle="1" w:styleId="InsideAddress">
    <w:name w:val="Inside Address"/>
    <w:basedOn w:val="Normal"/>
    <w:rsid w:val="003D169E"/>
    <w:pPr>
      <w:spacing w:after="0" w:line="240" w:lineRule="auto"/>
    </w:pPr>
    <w:rPr>
      <w:rFonts w:ascii="Arial" w:eastAsia="Times New Roman" w:hAnsi="Arial" w:cs="Arial"/>
      <w:szCs w:val="22"/>
      <w:lang w:bidi="ar-SA"/>
    </w:rPr>
  </w:style>
</w:styles>
</file>

<file path=word/webSettings.xml><?xml version="1.0" encoding="utf-8"?>
<w:webSettings xmlns:r="http://schemas.openxmlformats.org/officeDocument/2006/relationships" xmlns:w="http://schemas.openxmlformats.org/wordprocessingml/2006/main">
  <w:divs>
    <w:div w:id="17777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Krishan Kumar</cp:lastModifiedBy>
  <cp:revision>19</cp:revision>
  <cp:lastPrinted>2019-12-20T12:48:00Z</cp:lastPrinted>
  <dcterms:created xsi:type="dcterms:W3CDTF">2019-12-03T13:06:00Z</dcterms:created>
  <dcterms:modified xsi:type="dcterms:W3CDTF">2019-12-20T12:48:00Z</dcterms:modified>
</cp:coreProperties>
</file>